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E4FAB" w14:textId="614D0CB9" w:rsidR="00AB7F76" w:rsidRPr="004246F2" w:rsidRDefault="00AB7F76" w:rsidP="00AB7F76">
      <w:pPr>
        <w:jc w:val="center"/>
        <w:rPr>
          <w:sz w:val="28"/>
        </w:rPr>
      </w:pPr>
      <w:bookmarkStart w:id="0" w:name="_GoBack"/>
      <w:bookmarkEnd w:id="0"/>
      <w:r w:rsidRPr="004246F2">
        <w:rPr>
          <w:sz w:val="28"/>
        </w:rPr>
        <w:t>UNIVERSIDAD LIBRE</w:t>
      </w:r>
    </w:p>
    <w:p w14:paraId="73035126" w14:textId="77777777" w:rsidR="00AB7F76" w:rsidRPr="004246F2" w:rsidRDefault="00AB7F76" w:rsidP="00AB7F76">
      <w:pPr>
        <w:jc w:val="center"/>
        <w:rPr>
          <w:sz w:val="28"/>
        </w:rPr>
      </w:pPr>
    </w:p>
    <w:p w14:paraId="22A7EDCB" w14:textId="5CDEF087" w:rsidR="00AB7F76" w:rsidRPr="004246F2" w:rsidRDefault="00AB7F76" w:rsidP="00AB7F76">
      <w:pPr>
        <w:jc w:val="center"/>
        <w:rPr>
          <w:b/>
          <w:sz w:val="28"/>
        </w:rPr>
      </w:pPr>
      <w:r w:rsidRPr="004246F2">
        <w:rPr>
          <w:b/>
          <w:sz w:val="28"/>
        </w:rPr>
        <w:t>CONGRESO INTERNACIONAL DE ENERGÍAS RENOVABLES</w:t>
      </w:r>
    </w:p>
    <w:p w14:paraId="63EE0107" w14:textId="0A0D9D50" w:rsidR="00AB7F76" w:rsidRPr="004246F2" w:rsidRDefault="002A517D" w:rsidP="00AB7F76">
      <w:pPr>
        <w:jc w:val="center"/>
        <w:rPr>
          <w:sz w:val="28"/>
        </w:rPr>
      </w:pPr>
      <w:r>
        <w:rPr>
          <w:sz w:val="28"/>
        </w:rPr>
        <w:t>CIER 16</w:t>
      </w:r>
    </w:p>
    <w:p w14:paraId="3CAA51FE" w14:textId="2F0C340E" w:rsidR="00AB7F76" w:rsidRPr="004246F2" w:rsidRDefault="00AB7F76" w:rsidP="00AB7F76">
      <w:pPr>
        <w:jc w:val="center"/>
        <w:rPr>
          <w:sz w:val="28"/>
        </w:rPr>
      </w:pPr>
      <w:r w:rsidRPr="004246F2">
        <w:rPr>
          <w:sz w:val="28"/>
        </w:rPr>
        <w:t>EVALUACIÓN FINAL SOBRE LA CAPACITACIÓN</w:t>
      </w:r>
    </w:p>
    <w:p w14:paraId="3602EBD3" w14:textId="77777777" w:rsidR="00AB7F76" w:rsidRPr="004246F2" w:rsidRDefault="00AB7F76" w:rsidP="00C860CE"/>
    <w:p w14:paraId="291DBF97" w14:textId="77777777" w:rsidR="00AB7F76" w:rsidRPr="004246F2" w:rsidRDefault="00AB7F76" w:rsidP="00C860CE"/>
    <w:p w14:paraId="52209C91" w14:textId="77777777" w:rsidR="00C860CE" w:rsidRPr="004246F2" w:rsidRDefault="009C1D4F" w:rsidP="00C860CE">
      <w:pPr>
        <w:pStyle w:val="Prrafodelista"/>
        <w:numPr>
          <w:ilvl w:val="0"/>
          <w:numId w:val="1"/>
        </w:numPr>
      </w:pPr>
      <w:r w:rsidRPr="004246F2">
        <w:t>¿Por qué la tecnología FV es la más financiable?</w:t>
      </w:r>
    </w:p>
    <w:p w14:paraId="4823411D" w14:textId="77777777" w:rsidR="009C1D4F" w:rsidRPr="004246F2" w:rsidRDefault="009C1D4F" w:rsidP="009C1D4F">
      <w:pPr>
        <w:pStyle w:val="Prrafodelista"/>
        <w:numPr>
          <w:ilvl w:val="1"/>
          <w:numId w:val="1"/>
        </w:numPr>
      </w:pPr>
      <w:r w:rsidRPr="004246F2">
        <w:t>Porque es la que tiene el recurso más predecible</w:t>
      </w:r>
    </w:p>
    <w:p w14:paraId="0B85D898" w14:textId="77777777" w:rsidR="009C1D4F" w:rsidRPr="004246F2" w:rsidRDefault="009C1D4F" w:rsidP="009C1D4F">
      <w:pPr>
        <w:pStyle w:val="Prrafodelista"/>
        <w:numPr>
          <w:ilvl w:val="1"/>
          <w:numId w:val="1"/>
        </w:numPr>
      </w:pPr>
      <w:r w:rsidRPr="004246F2">
        <w:t>Porque es la más barata</w:t>
      </w:r>
    </w:p>
    <w:p w14:paraId="28D2F7A4" w14:textId="77777777" w:rsidR="009C1D4F" w:rsidRPr="004246F2" w:rsidRDefault="009C1D4F" w:rsidP="009C1D4F">
      <w:pPr>
        <w:pStyle w:val="Prrafodelista"/>
        <w:numPr>
          <w:ilvl w:val="1"/>
          <w:numId w:val="1"/>
        </w:numPr>
      </w:pPr>
      <w:r w:rsidRPr="004246F2">
        <w:t>Porque es la más rápida en su montaje.</w:t>
      </w:r>
    </w:p>
    <w:p w14:paraId="40731FCD" w14:textId="77777777" w:rsidR="009C1D4F" w:rsidRPr="004246F2" w:rsidRDefault="009C1D4F" w:rsidP="009C1D4F">
      <w:pPr>
        <w:pStyle w:val="Prrafodelista"/>
        <w:numPr>
          <w:ilvl w:val="1"/>
          <w:numId w:val="1"/>
        </w:numPr>
      </w:pPr>
      <w:r w:rsidRPr="004246F2">
        <w:t>Porque es la que mejor se hibrida con otra.</w:t>
      </w:r>
    </w:p>
    <w:p w14:paraId="31A19E15" w14:textId="77777777" w:rsidR="00113B12" w:rsidRPr="004246F2" w:rsidRDefault="00113B12" w:rsidP="00113B12">
      <w:pPr>
        <w:pStyle w:val="Prrafodelista"/>
        <w:numPr>
          <w:ilvl w:val="0"/>
          <w:numId w:val="1"/>
        </w:numPr>
      </w:pPr>
      <w:r w:rsidRPr="004246F2">
        <w:t>¿Que ratios son  los más habituales en los análisis de activos en EERR?</w:t>
      </w:r>
    </w:p>
    <w:p w14:paraId="203A676B" w14:textId="77777777" w:rsidR="00113B12" w:rsidRPr="004246F2" w:rsidRDefault="00113B12" w:rsidP="00113B12">
      <w:pPr>
        <w:pStyle w:val="Prrafodelista"/>
        <w:numPr>
          <w:ilvl w:val="1"/>
          <w:numId w:val="1"/>
        </w:numPr>
      </w:pPr>
      <w:r w:rsidRPr="004246F2">
        <w:t>El VAN y la ROE</w:t>
      </w:r>
    </w:p>
    <w:p w14:paraId="7B9E3AE6" w14:textId="77777777" w:rsidR="00113B12" w:rsidRPr="004246F2" w:rsidRDefault="00113B12" w:rsidP="00113B12">
      <w:pPr>
        <w:pStyle w:val="Prrafodelista"/>
        <w:numPr>
          <w:ilvl w:val="1"/>
          <w:numId w:val="1"/>
        </w:numPr>
      </w:pPr>
      <w:r w:rsidRPr="004246F2">
        <w:t>La TIR y la YIELD</w:t>
      </w:r>
    </w:p>
    <w:p w14:paraId="00469141" w14:textId="77777777" w:rsidR="00113B12" w:rsidRPr="004246F2" w:rsidRDefault="00113B12" w:rsidP="00113B12">
      <w:pPr>
        <w:pStyle w:val="Prrafodelista"/>
        <w:numPr>
          <w:ilvl w:val="1"/>
          <w:numId w:val="1"/>
        </w:numPr>
      </w:pPr>
      <w:r w:rsidRPr="004246F2">
        <w:t>VA</w:t>
      </w:r>
    </w:p>
    <w:p w14:paraId="222A7918" w14:textId="1FAF0BD5" w:rsidR="00F234F9" w:rsidRPr="004246F2" w:rsidRDefault="00113B12" w:rsidP="00F234F9">
      <w:pPr>
        <w:pStyle w:val="Prrafodelista"/>
        <w:numPr>
          <w:ilvl w:val="1"/>
          <w:numId w:val="1"/>
        </w:numPr>
      </w:pPr>
      <w:r w:rsidRPr="004246F2">
        <w:t>PAY BACK y el VA.</w:t>
      </w:r>
    </w:p>
    <w:p w14:paraId="42D4660B" w14:textId="66C7EC25" w:rsidR="000C19CF" w:rsidRPr="004246F2" w:rsidRDefault="00F37F1A" w:rsidP="000C19CF">
      <w:pPr>
        <w:pStyle w:val="Prrafodelista"/>
        <w:numPr>
          <w:ilvl w:val="0"/>
          <w:numId w:val="1"/>
        </w:numPr>
      </w:pPr>
      <w:r w:rsidRPr="004246F2">
        <w:t xml:space="preserve">Para el cálculo del Flujo de Caja, generalmente los bancos </w:t>
      </w:r>
    </w:p>
    <w:p w14:paraId="575715D6" w14:textId="1EBB25C7" w:rsidR="000C19CF" w:rsidRPr="004246F2" w:rsidRDefault="000C19CF" w:rsidP="000C19CF">
      <w:pPr>
        <w:pStyle w:val="Prrafodelista"/>
        <w:numPr>
          <w:ilvl w:val="1"/>
          <w:numId w:val="1"/>
        </w:numPr>
      </w:pPr>
      <w:r w:rsidRPr="004246F2">
        <w:t xml:space="preserve">No se </w:t>
      </w:r>
      <w:r w:rsidR="00B26148" w:rsidRPr="004246F2">
        <w:t>suele</w:t>
      </w:r>
      <w:r w:rsidR="00F37F1A" w:rsidRPr="004246F2">
        <w:t>n</w:t>
      </w:r>
      <w:r w:rsidR="00F97EE5" w:rsidRPr="004246F2">
        <w:t xml:space="preserve"> tener</w:t>
      </w:r>
      <w:r w:rsidRPr="004246F2">
        <w:t xml:space="preserve"> en cuenta el valor residual del activo.</w:t>
      </w:r>
    </w:p>
    <w:p w14:paraId="30C94430" w14:textId="338CA7D9" w:rsidR="000C19CF" w:rsidRPr="004246F2" w:rsidRDefault="00F97EE5" w:rsidP="000C19CF">
      <w:pPr>
        <w:pStyle w:val="Prrafodelista"/>
        <w:numPr>
          <w:ilvl w:val="1"/>
          <w:numId w:val="1"/>
        </w:numPr>
      </w:pPr>
      <w:r w:rsidRPr="004246F2">
        <w:t>multiplica</w:t>
      </w:r>
      <w:r w:rsidR="00F37F1A" w:rsidRPr="004246F2">
        <w:t>n</w:t>
      </w:r>
      <w:r w:rsidRPr="004246F2">
        <w:t xml:space="preserve"> por 5 el </w:t>
      </w:r>
      <w:r w:rsidR="000C19CF" w:rsidRPr="004246F2">
        <w:t>flujo de caja del último año.</w:t>
      </w:r>
    </w:p>
    <w:p w14:paraId="4C3E36FF" w14:textId="09D0A424" w:rsidR="00F97EE5" w:rsidRPr="004246F2" w:rsidRDefault="00F97EE5" w:rsidP="000C19CF">
      <w:pPr>
        <w:pStyle w:val="Prrafodelista"/>
        <w:numPr>
          <w:ilvl w:val="1"/>
          <w:numId w:val="1"/>
        </w:numPr>
      </w:pPr>
      <w:r w:rsidRPr="004246F2">
        <w:t>Si que se tiene en cuenta el valor residual del activo.</w:t>
      </w:r>
    </w:p>
    <w:p w14:paraId="4B1B05CE" w14:textId="77777777" w:rsidR="00113B12" w:rsidRPr="004246F2" w:rsidRDefault="00113B12" w:rsidP="00113B12">
      <w:pPr>
        <w:pStyle w:val="Prrafodelista"/>
        <w:numPr>
          <w:ilvl w:val="0"/>
          <w:numId w:val="1"/>
        </w:numPr>
      </w:pPr>
      <w:r w:rsidRPr="004246F2">
        <w:t>Cual es la diferencia fundamental entre un EPC y un “Llave en Mano”</w:t>
      </w:r>
    </w:p>
    <w:p w14:paraId="66BA8614" w14:textId="77777777" w:rsidR="00113B12" w:rsidRPr="004246F2" w:rsidRDefault="00113B12" w:rsidP="00113B12">
      <w:pPr>
        <w:pStyle w:val="Prrafodelista"/>
        <w:numPr>
          <w:ilvl w:val="1"/>
          <w:numId w:val="1"/>
        </w:numPr>
      </w:pPr>
      <w:r w:rsidRPr="004246F2">
        <w:t>Ninguna viene a ser lo mismo</w:t>
      </w:r>
    </w:p>
    <w:p w14:paraId="1CB689BB" w14:textId="77777777" w:rsidR="00113B12" w:rsidRPr="004246F2" w:rsidRDefault="00113B12" w:rsidP="00113B12">
      <w:pPr>
        <w:pStyle w:val="Prrafodelista"/>
        <w:numPr>
          <w:ilvl w:val="1"/>
          <w:numId w:val="1"/>
        </w:numPr>
      </w:pPr>
      <w:r w:rsidRPr="004246F2">
        <w:t>Que el EPC solo se usa en proyectos de EERR</w:t>
      </w:r>
    </w:p>
    <w:p w14:paraId="21CE83F5" w14:textId="77777777" w:rsidR="00113B12" w:rsidRPr="004246F2" w:rsidRDefault="00113B12" w:rsidP="00113B12">
      <w:pPr>
        <w:pStyle w:val="Prrafodelista"/>
        <w:numPr>
          <w:ilvl w:val="1"/>
          <w:numId w:val="1"/>
        </w:numPr>
      </w:pPr>
      <w:r w:rsidRPr="004246F2">
        <w:t>Que el EPC asume unas garantías durante la construcción y durante los primeros años de funcionamiento.</w:t>
      </w:r>
    </w:p>
    <w:p w14:paraId="61FA61D0" w14:textId="0DDA7FB1" w:rsidR="008B339B" w:rsidRPr="004246F2" w:rsidRDefault="008B339B" w:rsidP="00113B12">
      <w:pPr>
        <w:pStyle w:val="Prrafodelista"/>
        <w:numPr>
          <w:ilvl w:val="0"/>
          <w:numId w:val="1"/>
        </w:numPr>
      </w:pPr>
      <w:r w:rsidRPr="004246F2">
        <w:t>Se dice que un proyecto puede ser financiado mediante Project finance:</w:t>
      </w:r>
    </w:p>
    <w:p w14:paraId="5D875847" w14:textId="77777777" w:rsidR="008B339B" w:rsidRPr="004246F2" w:rsidRDefault="008B339B" w:rsidP="008B339B">
      <w:pPr>
        <w:pStyle w:val="Prrafodelista"/>
        <w:numPr>
          <w:ilvl w:val="1"/>
          <w:numId w:val="1"/>
        </w:numPr>
      </w:pPr>
      <w:r w:rsidRPr="004246F2">
        <w:t>Cuando los bancos deciden apalancar el proyecto de forma agresiva porque en base a la calidad del promotor creen que este va responder de los compromisos adquiridos</w:t>
      </w:r>
    </w:p>
    <w:p w14:paraId="2C529554" w14:textId="1F4E9D89" w:rsidR="008B339B" w:rsidRPr="004246F2" w:rsidRDefault="008B339B" w:rsidP="008B339B">
      <w:pPr>
        <w:pStyle w:val="Prrafodelista"/>
        <w:numPr>
          <w:ilvl w:val="1"/>
          <w:numId w:val="1"/>
        </w:numPr>
      </w:pPr>
      <w:r w:rsidRPr="004246F2">
        <w:t>Cuando existe Predictibilidad en los flujos de caja futuros de la compañía por efecto de la regulación existente o por la existencia de contratos a largo plazo independientemente de la calidad crediticia del promotor</w:t>
      </w:r>
    </w:p>
    <w:p w14:paraId="380A9579" w14:textId="6A66198E" w:rsidR="008B339B" w:rsidRPr="004246F2" w:rsidRDefault="008B339B" w:rsidP="00113B12">
      <w:pPr>
        <w:pStyle w:val="Prrafodelista"/>
        <w:numPr>
          <w:ilvl w:val="1"/>
          <w:numId w:val="1"/>
        </w:numPr>
      </w:pPr>
      <w:r w:rsidRPr="004246F2">
        <w:t xml:space="preserve">En el caso de que haya una elevada deuda en un proyecto a largo plazo justificada por las importantes inversiones necesaria para llevar a cabo el proyecto </w:t>
      </w:r>
    </w:p>
    <w:p w14:paraId="2AE1D038" w14:textId="67CEF664" w:rsidR="002E7D57" w:rsidRPr="004246F2" w:rsidRDefault="002E7D57" w:rsidP="00113B12">
      <w:pPr>
        <w:pStyle w:val="Prrafodelista"/>
        <w:numPr>
          <w:ilvl w:val="0"/>
          <w:numId w:val="1"/>
        </w:numPr>
      </w:pPr>
      <w:r w:rsidRPr="004246F2">
        <w:t>La creación de una sociedad vehículo en los Project finance:</w:t>
      </w:r>
    </w:p>
    <w:p w14:paraId="33FDC677" w14:textId="77777777" w:rsidR="002E7D57" w:rsidRPr="004246F2" w:rsidRDefault="002E7D57" w:rsidP="002E7D57">
      <w:pPr>
        <w:pStyle w:val="Prrafodelista"/>
        <w:numPr>
          <w:ilvl w:val="1"/>
          <w:numId w:val="1"/>
        </w:numPr>
      </w:pPr>
      <w:r w:rsidRPr="004246F2">
        <w:t>Depende de lo que quieran los socios puede hacerse o no</w:t>
      </w:r>
    </w:p>
    <w:p w14:paraId="29B3A011" w14:textId="77777777" w:rsidR="002E7D57" w:rsidRPr="004246F2" w:rsidRDefault="002E7D57" w:rsidP="002E7D57">
      <w:pPr>
        <w:pStyle w:val="Prrafodelista"/>
        <w:numPr>
          <w:ilvl w:val="1"/>
          <w:numId w:val="1"/>
        </w:numPr>
      </w:pPr>
      <w:r w:rsidRPr="004246F2">
        <w:t>Se debe crear siempre que queramos aislar los flujos de caja del proyecto del resto de la compañía</w:t>
      </w:r>
    </w:p>
    <w:p w14:paraId="6B108809" w14:textId="1C30EC9F" w:rsidR="002E7D57" w:rsidRPr="004246F2" w:rsidRDefault="002E7D57" w:rsidP="002E7D57">
      <w:pPr>
        <w:pStyle w:val="Prrafodelista"/>
        <w:numPr>
          <w:ilvl w:val="1"/>
          <w:numId w:val="1"/>
        </w:numPr>
      </w:pPr>
      <w:r w:rsidRPr="004246F2">
        <w:t xml:space="preserve">Es necesaria. Si no se produce la constitución de la sociedad se pierde </w:t>
      </w:r>
      <w:r w:rsidR="00F37F1A" w:rsidRPr="004246F2">
        <w:t>el espíritu del Project finance</w:t>
      </w:r>
      <w:r w:rsidRPr="004246F2">
        <w:t>.</w:t>
      </w:r>
    </w:p>
    <w:p w14:paraId="22A9213B" w14:textId="247AAFDB" w:rsidR="00284E6E" w:rsidRPr="004246F2" w:rsidRDefault="00284E6E" w:rsidP="002A517D">
      <w:pPr>
        <w:pStyle w:val="Prrafodelista"/>
        <w:numPr>
          <w:ilvl w:val="0"/>
          <w:numId w:val="1"/>
        </w:numPr>
        <w:ind w:left="709" w:hanging="349"/>
      </w:pPr>
      <w:r w:rsidRPr="004246F2">
        <w:t>¿Qué m</w:t>
      </w:r>
      <w:r w:rsidR="00F37F1A" w:rsidRPr="004246F2">
        <w:t>ecanismo tenemos para obtener retornos de dinero</w:t>
      </w:r>
      <w:r w:rsidRPr="004246F2">
        <w:t xml:space="preserve"> desde el punto </w:t>
      </w:r>
      <w:r w:rsidR="002A517D">
        <w:t xml:space="preserve">   </w:t>
      </w:r>
      <w:r w:rsidRPr="004246F2">
        <w:t>de vista del inversor?:</w:t>
      </w:r>
      <w:r w:rsidRPr="004246F2">
        <w:tab/>
      </w:r>
    </w:p>
    <w:p w14:paraId="4D6C9492" w14:textId="77777777" w:rsidR="00284E6E" w:rsidRPr="004246F2" w:rsidRDefault="00284E6E" w:rsidP="00B14C6E">
      <w:pPr>
        <w:pStyle w:val="Prrafodelista"/>
        <w:numPr>
          <w:ilvl w:val="1"/>
          <w:numId w:val="1"/>
        </w:numPr>
      </w:pPr>
      <w:r w:rsidRPr="004246F2">
        <w:t xml:space="preserve">Mediante dividendos con cargo a beneficios de futuros ejercicios. </w:t>
      </w:r>
    </w:p>
    <w:p w14:paraId="598C9176" w14:textId="77777777" w:rsidR="00284E6E" w:rsidRPr="004246F2" w:rsidRDefault="00284E6E" w:rsidP="00B14C6E">
      <w:pPr>
        <w:pStyle w:val="Prrafodelista"/>
        <w:numPr>
          <w:ilvl w:val="1"/>
          <w:numId w:val="1"/>
        </w:numPr>
      </w:pPr>
      <w:r w:rsidRPr="004246F2">
        <w:t xml:space="preserve">Mediante dividendos y reducciones de prima de emisión. </w:t>
      </w:r>
    </w:p>
    <w:p w14:paraId="35D27D10" w14:textId="5F2FEBE5" w:rsidR="00284E6E" w:rsidRPr="004246F2" w:rsidRDefault="00284E6E" w:rsidP="004F2D0E">
      <w:pPr>
        <w:pStyle w:val="Prrafodelista"/>
        <w:numPr>
          <w:ilvl w:val="1"/>
          <w:numId w:val="1"/>
        </w:numPr>
      </w:pPr>
      <w:r w:rsidRPr="004246F2">
        <w:lastRenderedPageBreak/>
        <w:t>Mediante intereses y devolución de deuda subordinada de accionistas.</w:t>
      </w:r>
    </w:p>
    <w:p w14:paraId="1E4F0393" w14:textId="6B2EEDF7" w:rsidR="00284E6E" w:rsidRPr="004246F2" w:rsidRDefault="00284E6E" w:rsidP="00113B12">
      <w:pPr>
        <w:pStyle w:val="Prrafodelista"/>
        <w:numPr>
          <w:ilvl w:val="0"/>
          <w:numId w:val="1"/>
        </w:numPr>
        <w:tabs>
          <w:tab w:val="num" w:pos="1134"/>
        </w:tabs>
        <w:spacing w:line="26" w:lineRule="atLeast"/>
        <w:jc w:val="both"/>
      </w:pPr>
      <w:r w:rsidRPr="004246F2">
        <w:t xml:space="preserve">¿Qué ventajas y desventajas generales tiene financiar un activo con un </w:t>
      </w:r>
      <w:r w:rsidR="00061BAA" w:rsidRPr="004246F2">
        <w:t>Project</w:t>
      </w:r>
      <w:r w:rsidRPr="004246F2">
        <w:t xml:space="preserve"> finance frente a una financiación con garantía corporativa?</w:t>
      </w:r>
    </w:p>
    <w:p w14:paraId="5848EBBA" w14:textId="73F6A29D" w:rsidR="00284E6E" w:rsidRPr="004246F2" w:rsidRDefault="00284E6E" w:rsidP="00B14C6E">
      <w:pPr>
        <w:pStyle w:val="Prrafodelista"/>
        <w:numPr>
          <w:ilvl w:val="1"/>
          <w:numId w:val="1"/>
        </w:numPr>
        <w:tabs>
          <w:tab w:val="num" w:pos="1134"/>
        </w:tabs>
        <w:spacing w:line="26" w:lineRule="atLeast"/>
        <w:jc w:val="both"/>
      </w:pPr>
      <w:r w:rsidRPr="004246F2">
        <w:t xml:space="preserve">El </w:t>
      </w:r>
      <w:r w:rsidR="00061BAA" w:rsidRPr="004246F2">
        <w:t>Project</w:t>
      </w:r>
      <w:r w:rsidRPr="004246F2">
        <w:t xml:space="preserve"> finance es más caro pero su duración es mayor. </w:t>
      </w:r>
    </w:p>
    <w:p w14:paraId="008829CC" w14:textId="618D8AF6" w:rsidR="00284E6E" w:rsidRPr="004246F2" w:rsidRDefault="00284E6E" w:rsidP="00B14C6E">
      <w:pPr>
        <w:pStyle w:val="Prrafodelista"/>
        <w:numPr>
          <w:ilvl w:val="1"/>
          <w:numId w:val="1"/>
        </w:numPr>
        <w:tabs>
          <w:tab w:val="num" w:pos="1134"/>
        </w:tabs>
        <w:spacing w:line="26" w:lineRule="atLeast"/>
        <w:jc w:val="both"/>
      </w:pPr>
      <w:r w:rsidRPr="004246F2">
        <w:t xml:space="preserve">El </w:t>
      </w:r>
      <w:r w:rsidR="00061BAA" w:rsidRPr="004246F2">
        <w:t>Project</w:t>
      </w:r>
      <w:r w:rsidRPr="004246F2">
        <w:t xml:space="preserve"> finance no tiene recurso contra el accionista y la corporativa si.</w:t>
      </w:r>
    </w:p>
    <w:p w14:paraId="02B827D1" w14:textId="77777777" w:rsidR="00284E6E" w:rsidRPr="004246F2" w:rsidRDefault="00284E6E" w:rsidP="00B14C6E">
      <w:pPr>
        <w:pStyle w:val="Prrafodelista"/>
        <w:numPr>
          <w:ilvl w:val="1"/>
          <w:numId w:val="1"/>
        </w:numPr>
        <w:tabs>
          <w:tab w:val="num" w:pos="1134"/>
        </w:tabs>
        <w:spacing w:line="26" w:lineRule="atLeast"/>
        <w:jc w:val="both"/>
      </w:pPr>
      <w:r w:rsidRPr="004246F2">
        <w:t xml:space="preserve">Todas la anteriores </w:t>
      </w:r>
    </w:p>
    <w:p w14:paraId="026C1213" w14:textId="0E80E81E" w:rsidR="00061BAA" w:rsidRPr="004246F2" w:rsidRDefault="00557D22" w:rsidP="00061BAA">
      <w:pPr>
        <w:pStyle w:val="Prrafodelista"/>
        <w:numPr>
          <w:ilvl w:val="0"/>
          <w:numId w:val="1"/>
        </w:numPr>
        <w:spacing w:line="26" w:lineRule="atLeast"/>
        <w:jc w:val="both"/>
      </w:pPr>
      <w:r w:rsidRPr="004246F2">
        <w:t xml:space="preserve">¿Cuales son </w:t>
      </w:r>
      <w:r w:rsidR="004A246C" w:rsidRPr="004246F2">
        <w:t>“</w:t>
      </w:r>
      <w:r w:rsidRPr="004246F2">
        <w:t>variables</w:t>
      </w:r>
      <w:r w:rsidR="004A246C" w:rsidRPr="004246F2">
        <w:t>”</w:t>
      </w:r>
      <w:r w:rsidRPr="004246F2">
        <w:t xml:space="preserve"> en las componentes de la Ratio de Cobertura del Servicio de la Deuda (RCSD)?</w:t>
      </w:r>
    </w:p>
    <w:p w14:paraId="665E953E" w14:textId="4E759291" w:rsidR="00557D22" w:rsidRPr="004246F2" w:rsidRDefault="006C1792" w:rsidP="00557D22">
      <w:pPr>
        <w:pStyle w:val="Prrafodelista"/>
        <w:numPr>
          <w:ilvl w:val="1"/>
          <w:numId w:val="1"/>
        </w:numPr>
        <w:spacing w:line="26" w:lineRule="atLeast"/>
        <w:jc w:val="both"/>
      </w:pPr>
      <w:r w:rsidRPr="004246F2">
        <w:t>El servicio de la deuda (intereses + principal)</w:t>
      </w:r>
    </w:p>
    <w:p w14:paraId="3A684D98" w14:textId="10C20D94" w:rsidR="006C1792" w:rsidRPr="004246F2" w:rsidRDefault="006C1792" w:rsidP="00557D22">
      <w:pPr>
        <w:pStyle w:val="Prrafodelista"/>
        <w:numPr>
          <w:ilvl w:val="1"/>
          <w:numId w:val="1"/>
        </w:numPr>
        <w:spacing w:line="26" w:lineRule="atLeast"/>
        <w:jc w:val="both"/>
      </w:pPr>
      <w:r w:rsidRPr="004246F2">
        <w:t>El fuljo de caja libre</w:t>
      </w:r>
    </w:p>
    <w:p w14:paraId="127AEC25" w14:textId="27FDF02D" w:rsidR="006C1792" w:rsidRPr="004246F2" w:rsidRDefault="006C1792" w:rsidP="00557D22">
      <w:pPr>
        <w:pStyle w:val="Prrafodelista"/>
        <w:numPr>
          <w:ilvl w:val="1"/>
          <w:numId w:val="1"/>
        </w:numPr>
        <w:spacing w:line="26" w:lineRule="atLeast"/>
        <w:jc w:val="both"/>
      </w:pPr>
      <w:r w:rsidRPr="004246F2">
        <w:t>La propia RCSD</w:t>
      </w:r>
    </w:p>
    <w:p w14:paraId="3E492846" w14:textId="43A924DA" w:rsidR="006C1792" w:rsidRPr="004246F2" w:rsidRDefault="00F94F16" w:rsidP="006C1792">
      <w:pPr>
        <w:pStyle w:val="Prrafodelista"/>
        <w:numPr>
          <w:ilvl w:val="0"/>
          <w:numId w:val="1"/>
        </w:numPr>
        <w:spacing w:line="26" w:lineRule="atLeast"/>
        <w:jc w:val="both"/>
      </w:pPr>
      <w:r w:rsidRPr="004246F2">
        <w:t>Que cuantía anual suelen requerir los bancos para dotar la reserva del servicio de deuda (RSD)</w:t>
      </w:r>
    </w:p>
    <w:p w14:paraId="5C85650A" w14:textId="2BA75B5C" w:rsidR="00F94F16" w:rsidRPr="004246F2" w:rsidRDefault="00F94F16" w:rsidP="00F94F16">
      <w:pPr>
        <w:pStyle w:val="Prrafodelista"/>
        <w:numPr>
          <w:ilvl w:val="1"/>
          <w:numId w:val="1"/>
        </w:numPr>
        <w:spacing w:line="26" w:lineRule="atLeast"/>
        <w:jc w:val="both"/>
      </w:pPr>
      <w:r w:rsidRPr="004246F2">
        <w:t>Dos años del Servicio de Deuda</w:t>
      </w:r>
    </w:p>
    <w:p w14:paraId="4AF79D15" w14:textId="218E65E2" w:rsidR="00F94F16" w:rsidRPr="004246F2" w:rsidRDefault="00F94F16" w:rsidP="00F94F16">
      <w:pPr>
        <w:pStyle w:val="Prrafodelista"/>
        <w:numPr>
          <w:ilvl w:val="1"/>
          <w:numId w:val="1"/>
        </w:numPr>
        <w:spacing w:line="26" w:lineRule="atLeast"/>
        <w:jc w:val="both"/>
      </w:pPr>
      <w:r w:rsidRPr="004246F2">
        <w:t>Seis meses del Servicio de Deuda</w:t>
      </w:r>
    </w:p>
    <w:p w14:paraId="6EE7645E" w14:textId="0255798E" w:rsidR="00F94F16" w:rsidRPr="004246F2" w:rsidRDefault="00F94F16" w:rsidP="00F94F16">
      <w:pPr>
        <w:pStyle w:val="Prrafodelista"/>
        <w:numPr>
          <w:ilvl w:val="1"/>
          <w:numId w:val="1"/>
        </w:numPr>
        <w:spacing w:line="26" w:lineRule="atLeast"/>
        <w:jc w:val="both"/>
      </w:pPr>
      <w:r w:rsidRPr="004246F2">
        <w:t>USD</w:t>
      </w:r>
      <w:r w:rsidR="004A246C" w:rsidRPr="004246F2">
        <w:t xml:space="preserve"> </w:t>
      </w:r>
      <w:r w:rsidRPr="004246F2">
        <w:t>900.000</w:t>
      </w:r>
    </w:p>
    <w:p w14:paraId="4C2553CF" w14:textId="4F0D0AD5" w:rsidR="00F94F16" w:rsidRPr="004246F2" w:rsidRDefault="00F94F16" w:rsidP="00F94F16">
      <w:pPr>
        <w:pStyle w:val="Prrafodelista"/>
        <w:numPr>
          <w:ilvl w:val="1"/>
          <w:numId w:val="1"/>
        </w:numPr>
        <w:spacing w:line="26" w:lineRule="atLeast"/>
        <w:jc w:val="both"/>
      </w:pPr>
      <w:r w:rsidRPr="004246F2">
        <w:t>Ninguna.</w:t>
      </w:r>
    </w:p>
    <w:p w14:paraId="53F3BC0C" w14:textId="77777777" w:rsidR="006C1792" w:rsidRPr="004246F2" w:rsidRDefault="006C1792" w:rsidP="006C1792">
      <w:pPr>
        <w:pStyle w:val="Prrafodelista"/>
        <w:spacing w:line="26" w:lineRule="atLeast"/>
        <w:ind w:left="1440"/>
        <w:jc w:val="both"/>
      </w:pPr>
    </w:p>
    <w:p w14:paraId="4882000F" w14:textId="77777777" w:rsidR="006C1792" w:rsidRPr="004246F2" w:rsidRDefault="006C1792" w:rsidP="006C1792">
      <w:pPr>
        <w:pStyle w:val="Prrafodelista"/>
        <w:spacing w:line="26" w:lineRule="atLeast"/>
        <w:ind w:left="1440"/>
        <w:jc w:val="both"/>
      </w:pPr>
    </w:p>
    <w:p w14:paraId="2E60202F" w14:textId="77777777" w:rsidR="00284E6E" w:rsidRPr="004246F2" w:rsidRDefault="00284E6E" w:rsidP="00B14C6E">
      <w:pPr>
        <w:tabs>
          <w:tab w:val="num" w:pos="1134"/>
        </w:tabs>
        <w:spacing w:line="26" w:lineRule="atLeast"/>
        <w:ind w:left="567"/>
        <w:jc w:val="both"/>
      </w:pPr>
    </w:p>
    <w:p w14:paraId="4D50D507" w14:textId="77777777" w:rsidR="00C860CE" w:rsidRPr="004246F2" w:rsidRDefault="00C860CE" w:rsidP="00284E6E">
      <w:pPr>
        <w:pStyle w:val="Prrafodelista"/>
      </w:pPr>
    </w:p>
    <w:sectPr w:rsidR="00C860CE" w:rsidRPr="004246F2" w:rsidSect="003737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2E5"/>
    <w:multiLevelType w:val="multilevel"/>
    <w:tmpl w:val="91E0C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512A"/>
    <w:multiLevelType w:val="hybridMultilevel"/>
    <w:tmpl w:val="E1E6C248"/>
    <w:lvl w:ilvl="0" w:tplc="E9644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F78"/>
    <w:multiLevelType w:val="hybridMultilevel"/>
    <w:tmpl w:val="51C097F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D090F"/>
    <w:multiLevelType w:val="hybridMultilevel"/>
    <w:tmpl w:val="20026E6E"/>
    <w:lvl w:ilvl="0" w:tplc="290AE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D796D"/>
    <w:multiLevelType w:val="hybridMultilevel"/>
    <w:tmpl w:val="ECA2812A"/>
    <w:lvl w:ilvl="0" w:tplc="63CCE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76EFF"/>
    <w:multiLevelType w:val="hybridMultilevel"/>
    <w:tmpl w:val="B750F632"/>
    <w:lvl w:ilvl="0" w:tplc="275C44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CF3BE8"/>
    <w:multiLevelType w:val="hybridMultilevel"/>
    <w:tmpl w:val="C750D0A0"/>
    <w:lvl w:ilvl="0" w:tplc="E9644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41726FA8"/>
    <w:multiLevelType w:val="hybridMultilevel"/>
    <w:tmpl w:val="FFDC40CE"/>
    <w:lvl w:ilvl="0" w:tplc="E9644C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51586"/>
    <w:multiLevelType w:val="hybridMultilevel"/>
    <w:tmpl w:val="BB96FA2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E90B4C"/>
    <w:multiLevelType w:val="hybridMultilevel"/>
    <w:tmpl w:val="264EFCE8"/>
    <w:lvl w:ilvl="0" w:tplc="E9644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57111"/>
    <w:multiLevelType w:val="hybridMultilevel"/>
    <w:tmpl w:val="C8527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93B21"/>
    <w:multiLevelType w:val="hybridMultilevel"/>
    <w:tmpl w:val="AF42EE34"/>
    <w:lvl w:ilvl="0" w:tplc="D35CE7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60C1CB6">
      <w:start w:val="1"/>
      <w:numFmt w:val="lowerLetter"/>
      <w:lvlText w:val="%2)"/>
      <w:lvlJc w:val="left"/>
      <w:pPr>
        <w:tabs>
          <w:tab w:val="num" w:pos="1664"/>
        </w:tabs>
        <w:ind w:left="1664" w:hanging="5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2">
    <w:nsid w:val="62367B97"/>
    <w:multiLevelType w:val="hybridMultilevel"/>
    <w:tmpl w:val="5D40DC2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127CD"/>
    <w:multiLevelType w:val="hybridMultilevel"/>
    <w:tmpl w:val="5F886B9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28D6549"/>
    <w:multiLevelType w:val="hybridMultilevel"/>
    <w:tmpl w:val="E078D578"/>
    <w:lvl w:ilvl="0" w:tplc="E9644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75BC3"/>
    <w:multiLevelType w:val="hybridMultilevel"/>
    <w:tmpl w:val="2FFC47AE"/>
    <w:lvl w:ilvl="0" w:tplc="85B298D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7110EE6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AB1393C"/>
    <w:multiLevelType w:val="hybridMultilevel"/>
    <w:tmpl w:val="FFCE4266"/>
    <w:lvl w:ilvl="0" w:tplc="E9644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CE"/>
    <w:rsid w:val="00061BAA"/>
    <w:rsid w:val="000C19CF"/>
    <w:rsid w:val="00113B12"/>
    <w:rsid w:val="0026209A"/>
    <w:rsid w:val="00284E6E"/>
    <w:rsid w:val="002A517D"/>
    <w:rsid w:val="002D5DFF"/>
    <w:rsid w:val="002E7D57"/>
    <w:rsid w:val="0034608C"/>
    <w:rsid w:val="003737F9"/>
    <w:rsid w:val="004246F2"/>
    <w:rsid w:val="004A246C"/>
    <w:rsid w:val="004B441E"/>
    <w:rsid w:val="004F2D0E"/>
    <w:rsid w:val="00557D22"/>
    <w:rsid w:val="0060379B"/>
    <w:rsid w:val="006C1792"/>
    <w:rsid w:val="00765D5B"/>
    <w:rsid w:val="0079701A"/>
    <w:rsid w:val="007F272D"/>
    <w:rsid w:val="0085618F"/>
    <w:rsid w:val="008838F9"/>
    <w:rsid w:val="008A4DA7"/>
    <w:rsid w:val="008B339B"/>
    <w:rsid w:val="00972226"/>
    <w:rsid w:val="009C1D4F"/>
    <w:rsid w:val="00A411B9"/>
    <w:rsid w:val="00AB7F76"/>
    <w:rsid w:val="00B14C6E"/>
    <w:rsid w:val="00B26148"/>
    <w:rsid w:val="00BB2B57"/>
    <w:rsid w:val="00BC6BF8"/>
    <w:rsid w:val="00C37142"/>
    <w:rsid w:val="00C860CE"/>
    <w:rsid w:val="00D213C3"/>
    <w:rsid w:val="00D45625"/>
    <w:rsid w:val="00E630E4"/>
    <w:rsid w:val="00EB6EA2"/>
    <w:rsid w:val="00F234F9"/>
    <w:rsid w:val="00F37F1A"/>
    <w:rsid w:val="00F574A1"/>
    <w:rsid w:val="00F94F16"/>
    <w:rsid w:val="00F97EE5"/>
    <w:rsid w:val="00FB68F8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74C9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0CE"/>
    <w:pPr>
      <w:ind w:left="720"/>
      <w:contextualSpacing/>
    </w:pPr>
  </w:style>
  <w:style w:type="paragraph" w:customStyle="1" w:styleId="Prrafodelista1">
    <w:name w:val="Párrafo de lista1"/>
    <w:basedOn w:val="Normal"/>
    <w:rsid w:val="0026209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vitacapital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corchado</dc:creator>
  <cp:keywords/>
  <dc:description/>
  <cp:lastModifiedBy>Usuario de Microsoft Office</cp:lastModifiedBy>
  <cp:revision>2</cp:revision>
  <dcterms:created xsi:type="dcterms:W3CDTF">2016-11-11T17:36:00Z</dcterms:created>
  <dcterms:modified xsi:type="dcterms:W3CDTF">2016-11-11T17:36:00Z</dcterms:modified>
</cp:coreProperties>
</file>